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9C860" w14:textId="77777777" w:rsidR="006A7646" w:rsidRDefault="00000000">
      <w:pPr>
        <w:spacing w:before="2000" w:after="200"/>
        <w:jc w:val="center"/>
      </w:pPr>
      <w:r>
        <w:rPr>
          <w:b/>
          <w:bCs/>
          <w:color w:val="1A1A2E"/>
          <w:sz w:val="52"/>
          <w:szCs w:val="52"/>
        </w:rPr>
        <w:t>CONDITIONS GÉNÉRALES DE VENTE</w:t>
      </w:r>
    </w:p>
    <w:p w14:paraId="2E48FD38" w14:textId="1AA69299" w:rsidR="006A7646" w:rsidRDefault="00000000">
      <w:pPr>
        <w:spacing w:after="200"/>
        <w:jc w:val="center"/>
      </w:pPr>
      <w:r>
        <w:rPr>
          <w:color w:val="4F46E5"/>
          <w:sz w:val="26"/>
          <w:szCs w:val="26"/>
        </w:rPr>
        <w:t xml:space="preserve">Plateforme </w:t>
      </w:r>
      <w:r w:rsidR="00574D84">
        <w:rPr>
          <w:color w:val="4F46E5"/>
          <w:sz w:val="26"/>
          <w:szCs w:val="26"/>
        </w:rPr>
        <w:t>Cadrant.ai</w:t>
      </w:r>
    </w:p>
    <w:p w14:paraId="41270803" w14:textId="77777777" w:rsidR="006A7646" w:rsidRDefault="00000000">
      <w:pPr>
        <w:spacing w:after="200"/>
        <w:jc w:val="center"/>
      </w:pPr>
      <w:r>
        <w:rPr>
          <w:b/>
          <w:bCs/>
          <w:color w:val="6B7280"/>
          <w:sz w:val="24"/>
          <w:szCs w:val="24"/>
        </w:rPr>
        <w:t xml:space="preserve">Convergence </w:t>
      </w:r>
      <w:proofErr w:type="spellStart"/>
      <w:r>
        <w:rPr>
          <w:b/>
          <w:bCs/>
          <w:color w:val="6B7280"/>
          <w:sz w:val="24"/>
          <w:szCs w:val="24"/>
        </w:rPr>
        <w:t>Lab</w:t>
      </w:r>
      <w:proofErr w:type="spellEnd"/>
    </w:p>
    <w:p w14:paraId="116B3D8C" w14:textId="77777777" w:rsidR="006A7646" w:rsidRDefault="00000000">
      <w:pPr>
        <w:spacing w:after="200"/>
        <w:jc w:val="center"/>
      </w:pPr>
      <w:r>
        <w:rPr>
          <w:color w:val="6B7280"/>
          <w:sz w:val="20"/>
          <w:szCs w:val="20"/>
        </w:rPr>
        <w:t>Version en vigueur — Janvier 2025</w:t>
      </w:r>
    </w:p>
    <w:p w14:paraId="5A24F142" w14:textId="77777777" w:rsidR="006A7646" w:rsidRDefault="006A7646">
      <w:pPr>
        <w:pageBreakBefore/>
      </w:pPr>
    </w:p>
    <w:p w14:paraId="5648632B" w14:textId="77777777" w:rsidR="006A7646" w:rsidRDefault="00000000">
      <w:pPr>
        <w:pStyle w:val="Heading1"/>
      </w:pPr>
      <w:r>
        <w:t>ARTICLE 1 — IDENTIFICATION DU VENDEUR</w:t>
      </w:r>
    </w:p>
    <w:p w14:paraId="32113B91" w14:textId="15C10CE4" w:rsidR="006A7646" w:rsidRDefault="00000000">
      <w:pPr>
        <w:spacing w:after="160"/>
      </w:pPr>
      <w:r>
        <w:t xml:space="preserve">Les présentes Conditions Générales de Vente (ci-après « CGV ») s'appliquent à toute souscription d'abonnement à la plateforme </w:t>
      </w:r>
      <w:r w:rsidR="00574D84">
        <w:t>Cadrant.ai</w:t>
      </w:r>
      <w:r>
        <w:t>, éditée par :</w:t>
      </w:r>
    </w:p>
    <w:p w14:paraId="5A270670" w14:textId="77777777" w:rsidR="006A7646" w:rsidRDefault="00000000">
      <w:pPr>
        <w:pStyle w:val="ListParagraph"/>
        <w:numPr>
          <w:ilvl w:val="0"/>
          <w:numId w:val="2"/>
        </w:numPr>
        <w:spacing w:after="80"/>
      </w:pPr>
      <w:r>
        <w:t xml:space="preserve">Société : Convergence </w:t>
      </w:r>
      <w:proofErr w:type="spellStart"/>
      <w:r>
        <w:t>Lab</w:t>
      </w:r>
      <w:proofErr w:type="spellEnd"/>
    </w:p>
    <w:p w14:paraId="262ECB95" w14:textId="1D11D197" w:rsidR="006A7646" w:rsidRPr="00574D84" w:rsidRDefault="00000000">
      <w:pPr>
        <w:pStyle w:val="ListParagraph"/>
        <w:numPr>
          <w:ilvl w:val="0"/>
          <w:numId w:val="2"/>
        </w:numPr>
        <w:spacing w:after="80"/>
        <w:rPr>
          <w:lang w:val="en-US"/>
        </w:rPr>
      </w:pPr>
      <w:r w:rsidRPr="00574D84">
        <w:rPr>
          <w:lang w:val="en-US"/>
        </w:rPr>
        <w:t xml:space="preserve">Site </w:t>
      </w:r>
      <w:proofErr w:type="gramStart"/>
      <w:r w:rsidRPr="00574D84">
        <w:rPr>
          <w:lang w:val="en-US"/>
        </w:rPr>
        <w:t>web :</w:t>
      </w:r>
      <w:proofErr w:type="gramEnd"/>
      <w:r w:rsidRPr="00574D84">
        <w:rPr>
          <w:lang w:val="en-US"/>
        </w:rPr>
        <w:t xml:space="preserve"> https://</w:t>
      </w:r>
      <w:r w:rsidR="00574D84">
        <w:rPr>
          <w:lang w:val="en-US"/>
        </w:rPr>
        <w:t>Cadrant.ai</w:t>
      </w:r>
    </w:p>
    <w:p w14:paraId="6C44E53F" w14:textId="4FA24E25" w:rsidR="006A7646" w:rsidRDefault="00000000">
      <w:pPr>
        <w:pStyle w:val="ListParagraph"/>
        <w:numPr>
          <w:ilvl w:val="0"/>
          <w:numId w:val="2"/>
        </w:numPr>
        <w:spacing w:after="80"/>
      </w:pPr>
      <w:proofErr w:type="gramStart"/>
      <w:r>
        <w:t>E-mail</w:t>
      </w:r>
      <w:proofErr w:type="gramEnd"/>
      <w:r>
        <w:t xml:space="preserve"> : contact@</w:t>
      </w:r>
      <w:r w:rsidR="00574D84">
        <w:t>Cadrant.ai</w:t>
      </w:r>
    </w:p>
    <w:p w14:paraId="2A1BA516" w14:textId="77777777" w:rsidR="006A7646" w:rsidRDefault="006A7646">
      <w:pPr>
        <w:spacing w:after="80"/>
      </w:pPr>
    </w:p>
    <w:p w14:paraId="019918EF" w14:textId="5A932F32" w:rsidR="006A7646" w:rsidRDefault="00000000">
      <w:pPr>
        <w:spacing w:after="160"/>
        <w:jc w:val="both"/>
      </w:pPr>
      <w:r>
        <w:t xml:space="preserve">Convergence </w:t>
      </w:r>
      <w:proofErr w:type="spellStart"/>
      <w:r>
        <w:t>Lab</w:t>
      </w:r>
      <w:proofErr w:type="spellEnd"/>
      <w:r>
        <w:t xml:space="preserve"> est une société de droit français. </w:t>
      </w:r>
      <w:r w:rsidR="00574D84">
        <w:t>Cadrant.ai</w:t>
      </w:r>
      <w:r>
        <w:t xml:space="preserve"> est une plateforme SaaS (Software as </w:t>
      </w:r>
      <w:proofErr w:type="gramStart"/>
      <w:r>
        <w:t>a</w:t>
      </w:r>
      <w:proofErr w:type="gramEnd"/>
      <w:r>
        <w:t xml:space="preserve"> Service) de génération d'applications web.</w:t>
      </w:r>
    </w:p>
    <w:p w14:paraId="695E376D" w14:textId="77777777" w:rsidR="006A7646" w:rsidRDefault="006A7646">
      <w:pPr>
        <w:spacing w:after="80"/>
      </w:pPr>
    </w:p>
    <w:p w14:paraId="5E81500D" w14:textId="77777777" w:rsidR="006A7646" w:rsidRDefault="00000000">
      <w:pPr>
        <w:pStyle w:val="Heading1"/>
      </w:pPr>
      <w:r>
        <w:t>ARTICLE 2 — CHAMP D'APPLICATION</w:t>
      </w:r>
    </w:p>
    <w:p w14:paraId="21E8E6E7" w14:textId="51B4F527" w:rsidR="006A7646" w:rsidRDefault="00000000">
      <w:pPr>
        <w:spacing w:after="160"/>
        <w:jc w:val="both"/>
      </w:pPr>
      <w:r>
        <w:t xml:space="preserve">Les présentes CGV régissent exclusivement les relations contractuelles entre Convergence </w:t>
      </w:r>
      <w:proofErr w:type="spellStart"/>
      <w:r>
        <w:t>Lab</w:t>
      </w:r>
      <w:proofErr w:type="spellEnd"/>
      <w:r>
        <w:t xml:space="preserve"> et tout Utilisateur (ci-après « le Client ») souhaitant souscrire à l'abonnement payant de la plateforme </w:t>
      </w:r>
      <w:r w:rsidR="00574D84">
        <w:t>Cadrant.ai</w:t>
      </w:r>
      <w:r>
        <w:t>.</w:t>
      </w:r>
    </w:p>
    <w:p w14:paraId="7EEF0022" w14:textId="77777777" w:rsidR="006A7646" w:rsidRDefault="00000000">
      <w:pPr>
        <w:spacing w:after="160"/>
        <w:jc w:val="both"/>
      </w:pPr>
      <w:r>
        <w:t>Toute souscription implique l'acceptation pleine et entière des présentes CGV par le Client. Les CGV prévalent sur tout autre document du Client.</w:t>
      </w:r>
    </w:p>
    <w:p w14:paraId="31E51ED9" w14:textId="77777777" w:rsidR="006A7646" w:rsidRDefault="006A7646">
      <w:pPr>
        <w:spacing w:after="80"/>
      </w:pPr>
    </w:p>
    <w:p w14:paraId="3DDD4678" w14:textId="77777777" w:rsidR="006A7646" w:rsidRDefault="00000000">
      <w:pPr>
        <w:pStyle w:val="Heading1"/>
      </w:pPr>
      <w:r>
        <w:t>ARTICLE 3 — OFFRES ET TARIFS</w:t>
      </w:r>
    </w:p>
    <w:p w14:paraId="6CE5490D" w14:textId="77777777" w:rsidR="006A7646" w:rsidRDefault="00000000">
      <w:pPr>
        <w:pStyle w:val="Heading2"/>
      </w:pPr>
      <w:r>
        <w:t>3.1 Offre Freemium</w:t>
      </w:r>
    </w:p>
    <w:p w14:paraId="3330614C" w14:textId="41532FBF" w:rsidR="006A7646" w:rsidRDefault="00574D84">
      <w:pPr>
        <w:spacing w:after="160"/>
      </w:pPr>
      <w:r>
        <w:t>Cadrant.ai propose un accès gratuit à la plateforme incluant 15 crédits offerts sans limitation de durée. Cette offre permet de tester les fonctionnalités de la plateforme sans engagement ni paiement.</w:t>
      </w:r>
    </w:p>
    <w:p w14:paraId="621177E6" w14:textId="77777777" w:rsidR="006A7646" w:rsidRDefault="006A7646">
      <w:pPr>
        <w:spacing w:after="80"/>
      </w:pPr>
    </w:p>
    <w:p w14:paraId="5331A3D8" w14:textId="77777777" w:rsidR="006A7646" w:rsidRDefault="00000000">
      <w:pPr>
        <w:pStyle w:val="Heading2"/>
      </w:pPr>
      <w:r>
        <w:t>3.2 Abonnement mensuel</w:t>
      </w:r>
    </w:p>
    <w:p w14:paraId="326787E3" w14:textId="77777777" w:rsidR="006A7646" w:rsidRDefault="00000000">
      <w:pPr>
        <w:spacing w:after="160"/>
      </w:pPr>
      <w:r>
        <w:t>L'offre d'abonnement payante comprend :</w:t>
      </w:r>
    </w:p>
    <w:p w14:paraId="48D4D0F4" w14:textId="63B83A6B" w:rsidR="006A7646" w:rsidRDefault="00000000">
      <w:pPr>
        <w:pStyle w:val="ListParagraph"/>
        <w:numPr>
          <w:ilvl w:val="0"/>
          <w:numId w:val="2"/>
        </w:numPr>
        <w:spacing w:after="80"/>
      </w:pPr>
      <w:r>
        <w:t xml:space="preserve">Accès à l'ensemble des fonctionnalités de la plateforme </w:t>
      </w:r>
      <w:r w:rsidR="00574D84">
        <w:t>Cadrant.ai</w:t>
      </w:r>
    </w:p>
    <w:p w14:paraId="2760F10A" w14:textId="77777777" w:rsidR="006A7646" w:rsidRDefault="00000000">
      <w:pPr>
        <w:pStyle w:val="ListParagraph"/>
        <w:numPr>
          <w:ilvl w:val="0"/>
          <w:numId w:val="2"/>
        </w:numPr>
        <w:spacing w:after="80"/>
      </w:pPr>
      <w:r>
        <w:t>500 crédits mensuels</w:t>
      </w:r>
    </w:p>
    <w:p w14:paraId="4D0BE2A6" w14:textId="77777777" w:rsidR="006A7646" w:rsidRDefault="00000000">
      <w:pPr>
        <w:pStyle w:val="ListParagraph"/>
        <w:numPr>
          <w:ilvl w:val="0"/>
          <w:numId w:val="2"/>
        </w:numPr>
        <w:spacing w:after="80"/>
      </w:pPr>
      <w:r>
        <w:t>Déploiement d'applications sur AWS</w:t>
      </w:r>
    </w:p>
    <w:p w14:paraId="5C02E839" w14:textId="77777777" w:rsidR="006A7646" w:rsidRDefault="00000000">
      <w:pPr>
        <w:pStyle w:val="ListParagraph"/>
        <w:numPr>
          <w:ilvl w:val="0"/>
          <w:numId w:val="2"/>
        </w:numPr>
        <w:spacing w:after="80"/>
      </w:pPr>
      <w:r>
        <w:t>Connexion de nom de domaine personnalisé (</w:t>
      </w:r>
      <w:proofErr w:type="spellStart"/>
      <w:r>
        <w:t>Cloudflare</w:t>
      </w:r>
      <w:proofErr w:type="spellEnd"/>
      <w:r>
        <w:t>)</w:t>
      </w:r>
    </w:p>
    <w:p w14:paraId="7693BE73" w14:textId="77777777" w:rsidR="006A7646" w:rsidRDefault="00000000">
      <w:pPr>
        <w:pStyle w:val="ListParagraph"/>
        <w:numPr>
          <w:ilvl w:val="0"/>
          <w:numId w:val="2"/>
        </w:numPr>
        <w:spacing w:after="80"/>
      </w:pPr>
      <w:r>
        <w:t xml:space="preserve">Intégration </w:t>
      </w:r>
      <w:proofErr w:type="spellStart"/>
      <w:r>
        <w:t>Supabase</w:t>
      </w:r>
      <w:proofErr w:type="spellEnd"/>
    </w:p>
    <w:p w14:paraId="1CFE49A0" w14:textId="77777777" w:rsidR="006A7646" w:rsidRDefault="00000000">
      <w:pPr>
        <w:pStyle w:val="ListParagraph"/>
        <w:numPr>
          <w:ilvl w:val="0"/>
          <w:numId w:val="2"/>
        </w:numPr>
        <w:spacing w:after="80"/>
      </w:pPr>
      <w:r>
        <w:t>Téléchargement du code source</w:t>
      </w:r>
    </w:p>
    <w:p w14:paraId="625B3EBD" w14:textId="77777777" w:rsidR="006A7646" w:rsidRDefault="00000000">
      <w:pPr>
        <w:pStyle w:val="ListParagraph"/>
        <w:numPr>
          <w:ilvl w:val="0"/>
          <w:numId w:val="2"/>
        </w:numPr>
        <w:spacing w:after="80"/>
      </w:pPr>
      <w:r>
        <w:t>Support client</w:t>
      </w:r>
    </w:p>
    <w:p w14:paraId="6182BAAA" w14:textId="77777777" w:rsidR="006A7646" w:rsidRDefault="006A7646">
      <w:pPr>
        <w:spacing w:after="80"/>
      </w:pPr>
    </w:p>
    <w:p w14:paraId="6F3FFC13" w14:textId="77777777" w:rsidR="006A7646" w:rsidRDefault="00000000">
      <w:pPr>
        <w:spacing w:after="100"/>
      </w:pPr>
      <w:r>
        <w:rPr>
          <w:b/>
          <w:bCs/>
        </w:rPr>
        <w:t>Prix : 20,00 € TTC / mois</w:t>
      </w:r>
    </w:p>
    <w:p w14:paraId="04B64976" w14:textId="77777777" w:rsidR="006A7646" w:rsidRDefault="00000000">
      <w:pPr>
        <w:spacing w:after="160"/>
        <w:jc w:val="both"/>
      </w:pPr>
      <w:r>
        <w:t xml:space="preserve">Le prix est indiqué toutes taxes comprises (TTC). Convergence </w:t>
      </w:r>
      <w:proofErr w:type="spellStart"/>
      <w:r>
        <w:t>Lab</w:t>
      </w:r>
      <w:proofErr w:type="spellEnd"/>
      <w:r>
        <w:t xml:space="preserve"> se réserve le droit de modifier ses tarifs à tout moment, les nouvelles conditions tarifaires entrant en vigueur à la prochaine échéance de facturation après notification au Client.</w:t>
      </w:r>
    </w:p>
    <w:p w14:paraId="602CDE5A" w14:textId="77777777" w:rsidR="006A7646" w:rsidRDefault="006A7646">
      <w:pPr>
        <w:spacing w:after="80"/>
      </w:pPr>
    </w:p>
    <w:p w14:paraId="345AFC29" w14:textId="77777777" w:rsidR="006A7646" w:rsidRDefault="00000000">
      <w:pPr>
        <w:pStyle w:val="Heading1"/>
      </w:pPr>
      <w:r>
        <w:lastRenderedPageBreak/>
        <w:t>ARTICLE 4 — COMMANDE ET SOUSCRIPTION</w:t>
      </w:r>
    </w:p>
    <w:p w14:paraId="21888617" w14:textId="77777777" w:rsidR="006A7646" w:rsidRDefault="00000000">
      <w:pPr>
        <w:pStyle w:val="Heading2"/>
      </w:pPr>
      <w:r>
        <w:t>4.1 Processus de souscription</w:t>
      </w:r>
    </w:p>
    <w:p w14:paraId="0D8CE7FE" w14:textId="52873D57" w:rsidR="006A7646" w:rsidRDefault="00000000">
      <w:pPr>
        <w:spacing w:after="160"/>
        <w:jc w:val="both"/>
      </w:pPr>
      <w:r>
        <w:t xml:space="preserve">La souscription à l'abonnement </w:t>
      </w:r>
      <w:r w:rsidR="00574D84">
        <w:t>Cadrant.ai</w:t>
      </w:r>
      <w:r>
        <w:t xml:space="preserve"> s'effectue exclusivement en ligne, depuis l'espace personnel du Client. La souscription est définitive à compter de la validation du paiement.</w:t>
      </w:r>
    </w:p>
    <w:p w14:paraId="71ACA142" w14:textId="77777777" w:rsidR="006A7646" w:rsidRDefault="006A7646">
      <w:pPr>
        <w:spacing w:after="80"/>
      </w:pPr>
    </w:p>
    <w:p w14:paraId="06B364B4" w14:textId="77777777" w:rsidR="006A7646" w:rsidRDefault="00000000">
      <w:pPr>
        <w:pStyle w:val="Heading2"/>
      </w:pPr>
      <w:r>
        <w:t>4.2 Confirmation de commande</w:t>
      </w:r>
    </w:p>
    <w:p w14:paraId="2B2B0D75" w14:textId="77777777" w:rsidR="006A7646" w:rsidRDefault="00000000">
      <w:pPr>
        <w:spacing w:after="160"/>
        <w:jc w:val="both"/>
      </w:pPr>
      <w:r>
        <w:t xml:space="preserve">Un </w:t>
      </w:r>
      <w:proofErr w:type="gramStart"/>
      <w:r>
        <w:t>e-mail</w:t>
      </w:r>
      <w:proofErr w:type="gramEnd"/>
      <w:r>
        <w:t xml:space="preserve"> de confirmation récapitulant les éléments de la souscription et la facture correspondante est transmis au Client à l'adresse </w:t>
      </w:r>
      <w:proofErr w:type="gramStart"/>
      <w:r>
        <w:t>e-mail</w:t>
      </w:r>
      <w:proofErr w:type="gramEnd"/>
      <w:r>
        <w:t xml:space="preserve"> renseignée lors de la création de son compte.</w:t>
      </w:r>
    </w:p>
    <w:p w14:paraId="2DB00098" w14:textId="77777777" w:rsidR="006A7646" w:rsidRDefault="006A7646">
      <w:pPr>
        <w:spacing w:after="80"/>
      </w:pPr>
    </w:p>
    <w:p w14:paraId="54139ECF" w14:textId="77777777" w:rsidR="006A7646" w:rsidRDefault="00000000">
      <w:pPr>
        <w:pStyle w:val="Heading1"/>
      </w:pPr>
      <w:r>
        <w:t>ARTICLE 5 — PAIEMENT</w:t>
      </w:r>
    </w:p>
    <w:p w14:paraId="0FC05201" w14:textId="77777777" w:rsidR="006A7646" w:rsidRDefault="00000000">
      <w:pPr>
        <w:pStyle w:val="Heading2"/>
      </w:pPr>
      <w:r>
        <w:t>5.1 Modalités</w:t>
      </w:r>
    </w:p>
    <w:p w14:paraId="6016ABEE" w14:textId="77777777" w:rsidR="006A7646" w:rsidRDefault="00000000">
      <w:pPr>
        <w:spacing w:after="160"/>
        <w:jc w:val="both"/>
      </w:pPr>
      <w:r>
        <w:t>Le paiement s'effectue par carte bancaire, via le prestataire de paiement sécurisé Stripe. Aucune donnée bancaire n'est conservée par Convergence Lab.</w:t>
      </w:r>
    </w:p>
    <w:p w14:paraId="60CEB2CF" w14:textId="77777777" w:rsidR="006A7646" w:rsidRDefault="006A7646">
      <w:pPr>
        <w:spacing w:after="80"/>
      </w:pPr>
    </w:p>
    <w:p w14:paraId="74AE97DF" w14:textId="77777777" w:rsidR="006A7646" w:rsidRDefault="00000000">
      <w:pPr>
        <w:pStyle w:val="Heading2"/>
      </w:pPr>
      <w:r>
        <w:t>5.2 Facturation</w:t>
      </w:r>
    </w:p>
    <w:p w14:paraId="69053CB2" w14:textId="77777777" w:rsidR="006A7646" w:rsidRDefault="00000000">
      <w:pPr>
        <w:spacing w:after="160"/>
        <w:jc w:val="both"/>
      </w:pPr>
      <w:r>
        <w:t xml:space="preserve">L'abonnement est facturé mensuellement, le même jour chaque mois à compter de la date de souscription initiale. En cas d'échec de paiement, Convergence </w:t>
      </w:r>
      <w:proofErr w:type="spellStart"/>
      <w:r>
        <w:t>Lab</w:t>
      </w:r>
      <w:proofErr w:type="spellEnd"/>
      <w:r>
        <w:t xml:space="preserve"> se réserve le droit de suspendre l'accès à la plateforme jusqu'à régularisation.</w:t>
      </w:r>
    </w:p>
    <w:p w14:paraId="08F66E15" w14:textId="77777777" w:rsidR="006A7646" w:rsidRDefault="006A7646">
      <w:pPr>
        <w:spacing w:after="80"/>
      </w:pPr>
    </w:p>
    <w:p w14:paraId="70E9C0F1" w14:textId="77777777" w:rsidR="006A7646" w:rsidRDefault="00000000">
      <w:pPr>
        <w:pStyle w:val="Heading2"/>
      </w:pPr>
      <w:r>
        <w:t>5.3 Facturation électronique</w:t>
      </w:r>
    </w:p>
    <w:p w14:paraId="529BC8EC" w14:textId="77777777" w:rsidR="006A7646" w:rsidRDefault="00000000">
      <w:pPr>
        <w:spacing w:after="160"/>
        <w:jc w:val="both"/>
      </w:pPr>
      <w:r>
        <w:t xml:space="preserve">Les factures sont émises et transmises exclusivement sous forme électronique, à l'adresse </w:t>
      </w:r>
      <w:proofErr w:type="gramStart"/>
      <w:r>
        <w:t>e-mail</w:t>
      </w:r>
      <w:proofErr w:type="gramEnd"/>
      <w:r>
        <w:t xml:space="preserve"> du Client. Le Client accepte ce mode de facturation.</w:t>
      </w:r>
    </w:p>
    <w:p w14:paraId="3D77EAD0" w14:textId="77777777" w:rsidR="006A7646" w:rsidRDefault="006A7646">
      <w:pPr>
        <w:spacing w:after="80"/>
      </w:pPr>
    </w:p>
    <w:p w14:paraId="3C7808AD" w14:textId="77777777" w:rsidR="006A7646" w:rsidRDefault="00000000">
      <w:pPr>
        <w:pStyle w:val="Heading1"/>
      </w:pPr>
      <w:r>
        <w:t>ARTICLE 6 — RÉTRACTATION</w:t>
      </w:r>
    </w:p>
    <w:p w14:paraId="63F1A9E4" w14:textId="77777777" w:rsidR="006A7646" w:rsidRDefault="00000000">
      <w:pPr>
        <w:spacing w:after="160"/>
        <w:jc w:val="both"/>
      </w:pPr>
      <w:r>
        <w:t>Conformément à l'article L. 221-28 du Code de la consommation, le droit de rétractation ne s'applique pas aux contrats de fourniture de services pleinement exécutés avant la fin du délai de rétractation, avec l'accord préalable exprès du consommateur.</w:t>
      </w:r>
    </w:p>
    <w:p w14:paraId="490F6FE3" w14:textId="77777777" w:rsidR="006A7646" w:rsidRDefault="00000000">
      <w:pPr>
        <w:spacing w:after="160"/>
        <w:jc w:val="both"/>
      </w:pPr>
      <w:r>
        <w:t xml:space="preserve">Toutefois, Convergence </w:t>
      </w:r>
      <w:proofErr w:type="spellStart"/>
      <w:r>
        <w:t>Lab</w:t>
      </w:r>
      <w:proofErr w:type="spellEnd"/>
      <w:r>
        <w:t xml:space="preserve"> accorde au Client abonné pour la première fois un droit de résiliation dans les 14 jours suivant la souscription initiale, avec remboursement intégral, à condition que moins de 100 crédits aient été consommés depuis la souscription.</w:t>
      </w:r>
    </w:p>
    <w:p w14:paraId="70442C0E" w14:textId="209CB570" w:rsidR="006A7646" w:rsidRDefault="00000000">
      <w:pPr>
        <w:spacing w:after="160"/>
        <w:jc w:val="both"/>
      </w:pPr>
      <w:r>
        <w:t>Pour exercer ce droit, le Client doit adresser une demande écrite à : contact@</w:t>
      </w:r>
      <w:r w:rsidR="00574D84">
        <w:t>Cadrant.ai</w:t>
      </w:r>
      <w:r>
        <w:t>.</w:t>
      </w:r>
    </w:p>
    <w:p w14:paraId="025B1811" w14:textId="77777777" w:rsidR="006A7646" w:rsidRDefault="006A7646">
      <w:pPr>
        <w:spacing w:after="80"/>
      </w:pPr>
    </w:p>
    <w:p w14:paraId="7BB6E4C4" w14:textId="77777777" w:rsidR="006A7646" w:rsidRDefault="00000000">
      <w:pPr>
        <w:pStyle w:val="Heading1"/>
      </w:pPr>
      <w:r>
        <w:t>ARTICLE 7 — RÉSILIATION</w:t>
      </w:r>
    </w:p>
    <w:p w14:paraId="327333EF" w14:textId="77777777" w:rsidR="006A7646" w:rsidRDefault="00000000">
      <w:pPr>
        <w:pStyle w:val="Heading2"/>
      </w:pPr>
      <w:r>
        <w:t>7.1 Par le Client</w:t>
      </w:r>
    </w:p>
    <w:p w14:paraId="089C24A1" w14:textId="77777777" w:rsidR="006A7646" w:rsidRDefault="00000000">
      <w:pPr>
        <w:spacing w:after="160"/>
        <w:jc w:val="both"/>
      </w:pPr>
      <w:r>
        <w:t>Le Client peut résilier son abonnement à tout moment depuis son espace personnel, sans frais ni pénalité. La résiliation prend effet à la fin de la période mensuelle en cours. Aucun remboursement n'est accordé pour la période entamée.</w:t>
      </w:r>
    </w:p>
    <w:p w14:paraId="6935EEEE" w14:textId="77777777" w:rsidR="006A7646" w:rsidRDefault="006A7646">
      <w:pPr>
        <w:spacing w:after="80"/>
      </w:pPr>
    </w:p>
    <w:p w14:paraId="551C1460" w14:textId="77777777" w:rsidR="006A7646" w:rsidRDefault="00000000">
      <w:pPr>
        <w:pStyle w:val="Heading2"/>
      </w:pPr>
      <w:r>
        <w:t xml:space="preserve">7.2 Par Convergence </w:t>
      </w:r>
      <w:proofErr w:type="spellStart"/>
      <w:r>
        <w:t>Lab</w:t>
      </w:r>
      <w:proofErr w:type="spellEnd"/>
    </w:p>
    <w:p w14:paraId="314680A4" w14:textId="77777777" w:rsidR="006A7646" w:rsidRDefault="00000000">
      <w:pPr>
        <w:spacing w:after="160"/>
        <w:jc w:val="both"/>
      </w:pPr>
      <w:r>
        <w:t xml:space="preserve">Convergence </w:t>
      </w:r>
      <w:proofErr w:type="spellStart"/>
      <w:r>
        <w:t>Lab</w:t>
      </w:r>
      <w:proofErr w:type="spellEnd"/>
      <w:r>
        <w:t xml:space="preserve"> se réserve le droit de résilier l'abonnement du Client en cas de manquement grave aux CGU ou CGV, après mise en demeure restée sans effet sous 15 jours.</w:t>
      </w:r>
    </w:p>
    <w:p w14:paraId="78C1DE47" w14:textId="77777777" w:rsidR="006A7646" w:rsidRDefault="006A7646">
      <w:pPr>
        <w:spacing w:after="80"/>
      </w:pPr>
    </w:p>
    <w:p w14:paraId="40794DAB" w14:textId="77777777" w:rsidR="006A7646" w:rsidRDefault="00000000">
      <w:pPr>
        <w:pStyle w:val="Heading2"/>
      </w:pPr>
      <w:r>
        <w:t>7.3 Effets de la résiliation</w:t>
      </w:r>
    </w:p>
    <w:p w14:paraId="08A566FA" w14:textId="77777777" w:rsidR="006A7646" w:rsidRDefault="00000000">
      <w:pPr>
        <w:spacing w:after="160"/>
        <w:jc w:val="both"/>
      </w:pPr>
      <w:r>
        <w:t>À la résiliation, le Client conserve l'accès à la plateforme jusqu'à la fin de la période mensuelle payée. Le Client dispose d'un délai de 30 jours après résiliation pour télécharger son code source. Passé ce délai, les données peuvent être supprimées.</w:t>
      </w:r>
    </w:p>
    <w:p w14:paraId="4C6C2DBB" w14:textId="77777777" w:rsidR="006A7646" w:rsidRDefault="006A7646">
      <w:pPr>
        <w:spacing w:after="80"/>
      </w:pPr>
    </w:p>
    <w:p w14:paraId="6D233F84" w14:textId="77777777" w:rsidR="006A7646" w:rsidRDefault="00000000">
      <w:pPr>
        <w:pStyle w:val="Heading1"/>
      </w:pPr>
      <w:r>
        <w:t>ARTICLE 8 — OBLIGATIONS DE CONVERGENCE LAB</w:t>
      </w:r>
    </w:p>
    <w:p w14:paraId="7C4889F5" w14:textId="77777777" w:rsidR="006A7646" w:rsidRDefault="00000000">
      <w:pPr>
        <w:spacing w:after="160"/>
      </w:pPr>
      <w:r>
        <w:t xml:space="preserve">Convergence </w:t>
      </w:r>
      <w:proofErr w:type="spellStart"/>
      <w:r>
        <w:t>Lab</w:t>
      </w:r>
      <w:proofErr w:type="spellEnd"/>
      <w:r>
        <w:t xml:space="preserve"> s'engage à :</w:t>
      </w:r>
    </w:p>
    <w:p w14:paraId="05E18880" w14:textId="249E06B2" w:rsidR="006A7646" w:rsidRDefault="00000000">
      <w:pPr>
        <w:pStyle w:val="ListParagraph"/>
        <w:numPr>
          <w:ilvl w:val="0"/>
          <w:numId w:val="2"/>
        </w:numPr>
        <w:spacing w:after="80"/>
      </w:pPr>
      <w:r>
        <w:t xml:space="preserve">Fournir l'accès à la plateforme </w:t>
      </w:r>
      <w:r w:rsidR="00574D84">
        <w:t>Cadrant.ai</w:t>
      </w:r>
      <w:r>
        <w:t xml:space="preserve"> conformément à la description des services</w:t>
      </w:r>
    </w:p>
    <w:p w14:paraId="383E39CB" w14:textId="77777777" w:rsidR="006A7646" w:rsidRDefault="00000000">
      <w:pPr>
        <w:pStyle w:val="ListParagraph"/>
        <w:numPr>
          <w:ilvl w:val="0"/>
          <w:numId w:val="2"/>
        </w:numPr>
        <w:spacing w:after="80"/>
      </w:pPr>
      <w:r>
        <w:t>Maintenir les applications hébergées sur AWS dans des conditions de sécurité appropriées</w:t>
      </w:r>
    </w:p>
    <w:p w14:paraId="463BE96D" w14:textId="77777777" w:rsidR="006A7646" w:rsidRDefault="00000000">
      <w:pPr>
        <w:pStyle w:val="ListParagraph"/>
        <w:numPr>
          <w:ilvl w:val="0"/>
          <w:numId w:val="2"/>
        </w:numPr>
        <w:spacing w:after="80"/>
      </w:pPr>
      <w:r>
        <w:t>Assurer la disponibilité du service dans la mesure du possible</w:t>
      </w:r>
    </w:p>
    <w:p w14:paraId="0376DBC9" w14:textId="77777777" w:rsidR="006A7646" w:rsidRDefault="00000000">
      <w:pPr>
        <w:pStyle w:val="ListParagraph"/>
        <w:numPr>
          <w:ilvl w:val="0"/>
          <w:numId w:val="2"/>
        </w:numPr>
        <w:spacing w:after="80"/>
      </w:pPr>
      <w:r>
        <w:t>Informer le Client de toute interruption planifiée</w:t>
      </w:r>
    </w:p>
    <w:p w14:paraId="01DA51B1" w14:textId="77777777" w:rsidR="006A7646" w:rsidRDefault="00000000">
      <w:pPr>
        <w:pStyle w:val="ListParagraph"/>
        <w:numPr>
          <w:ilvl w:val="0"/>
          <w:numId w:val="2"/>
        </w:numPr>
        <w:spacing w:after="80"/>
      </w:pPr>
      <w:r>
        <w:t>Respecter la confidentialité des données du Client</w:t>
      </w:r>
    </w:p>
    <w:p w14:paraId="2F7C9219" w14:textId="77777777" w:rsidR="006A7646" w:rsidRDefault="006A7646">
      <w:pPr>
        <w:spacing w:after="80"/>
      </w:pPr>
    </w:p>
    <w:p w14:paraId="58FD95A9" w14:textId="77777777" w:rsidR="006A7646" w:rsidRDefault="00000000">
      <w:pPr>
        <w:pStyle w:val="Heading1"/>
      </w:pPr>
      <w:r>
        <w:t>ARTICLE 9 — OBLIGATIONS DU CLIENT</w:t>
      </w:r>
    </w:p>
    <w:p w14:paraId="1363574E" w14:textId="77777777" w:rsidR="006A7646" w:rsidRDefault="00000000">
      <w:pPr>
        <w:spacing w:after="160"/>
      </w:pPr>
      <w:r>
        <w:t>Le Client s'engage à :</w:t>
      </w:r>
    </w:p>
    <w:p w14:paraId="6518F5D1" w14:textId="77777777" w:rsidR="006A7646" w:rsidRDefault="00000000">
      <w:pPr>
        <w:pStyle w:val="ListParagraph"/>
        <w:numPr>
          <w:ilvl w:val="0"/>
          <w:numId w:val="2"/>
        </w:numPr>
        <w:spacing w:after="80"/>
      </w:pPr>
      <w:r>
        <w:t>Fournir des informations exactes lors de la création du compte</w:t>
      </w:r>
    </w:p>
    <w:p w14:paraId="099B52C2" w14:textId="77777777" w:rsidR="006A7646" w:rsidRDefault="00000000">
      <w:pPr>
        <w:pStyle w:val="ListParagraph"/>
        <w:numPr>
          <w:ilvl w:val="0"/>
          <w:numId w:val="2"/>
        </w:numPr>
        <w:spacing w:after="80"/>
      </w:pPr>
      <w:r>
        <w:t>Utiliser la plateforme dans le respect des lois et règlements en vigueur</w:t>
      </w:r>
    </w:p>
    <w:p w14:paraId="26C28B4F" w14:textId="399BB926" w:rsidR="006A7646" w:rsidRDefault="00000000">
      <w:pPr>
        <w:pStyle w:val="ListParagraph"/>
        <w:numPr>
          <w:ilvl w:val="0"/>
          <w:numId w:val="2"/>
        </w:numPr>
        <w:spacing w:after="80"/>
      </w:pPr>
      <w:r>
        <w:t xml:space="preserve">Ne pas utiliser </w:t>
      </w:r>
      <w:r w:rsidR="00574D84">
        <w:t>Cadrant.ai</w:t>
      </w:r>
      <w:r>
        <w:t xml:space="preserve"> à des fins illicites ou contraires aux présentes CGV</w:t>
      </w:r>
    </w:p>
    <w:p w14:paraId="10671D55" w14:textId="77777777" w:rsidR="006A7646" w:rsidRDefault="00000000">
      <w:pPr>
        <w:pStyle w:val="ListParagraph"/>
        <w:numPr>
          <w:ilvl w:val="0"/>
          <w:numId w:val="2"/>
        </w:numPr>
        <w:spacing w:after="80"/>
      </w:pPr>
      <w:r>
        <w:t>Assurer la confidentialité de ses identifiants de connexion</w:t>
      </w:r>
    </w:p>
    <w:p w14:paraId="5EDD123B" w14:textId="77777777" w:rsidR="006A7646" w:rsidRDefault="00000000">
      <w:pPr>
        <w:pStyle w:val="ListParagraph"/>
        <w:numPr>
          <w:ilvl w:val="0"/>
          <w:numId w:val="2"/>
        </w:numPr>
        <w:spacing w:after="80"/>
      </w:pPr>
      <w:r>
        <w:t>Régler les sommes dues à leur échéance</w:t>
      </w:r>
    </w:p>
    <w:p w14:paraId="62113ECB" w14:textId="77777777" w:rsidR="006A7646" w:rsidRDefault="006A7646">
      <w:pPr>
        <w:spacing w:after="80"/>
      </w:pPr>
    </w:p>
    <w:p w14:paraId="4AA2D806" w14:textId="77777777" w:rsidR="006A7646" w:rsidRDefault="00000000">
      <w:pPr>
        <w:pStyle w:val="Heading1"/>
      </w:pPr>
      <w:r>
        <w:t>ARTICLE 10 — PROPRIÉTÉ INTELLECTUELLE ET DONNÉES</w:t>
      </w:r>
    </w:p>
    <w:p w14:paraId="644635B2" w14:textId="55934427" w:rsidR="006A7646" w:rsidRDefault="00000000">
      <w:pPr>
        <w:spacing w:after="160"/>
        <w:jc w:val="both"/>
      </w:pPr>
      <w:r>
        <w:t xml:space="preserve">Le Client est propriétaire du code source des applications générées via </w:t>
      </w:r>
      <w:r w:rsidR="00574D84">
        <w:t>Cadrant.ai</w:t>
      </w:r>
      <w:r>
        <w:t xml:space="preserve"> et des données stockées dans son compte </w:t>
      </w:r>
      <w:proofErr w:type="spellStart"/>
      <w:r>
        <w:t>Supabase</w:t>
      </w:r>
      <w:proofErr w:type="spellEnd"/>
      <w:r>
        <w:t xml:space="preserve">. Convergence </w:t>
      </w:r>
      <w:proofErr w:type="spellStart"/>
      <w:r>
        <w:t>Lab</w:t>
      </w:r>
      <w:proofErr w:type="spellEnd"/>
      <w:r>
        <w:t xml:space="preserve"> est propriétaire de la plateforme </w:t>
      </w:r>
      <w:r w:rsidR="00574D84">
        <w:t>Cadrant.ai</w:t>
      </w:r>
      <w:r>
        <w:t>, de ses algorithmes et de son interface.</w:t>
      </w:r>
    </w:p>
    <w:p w14:paraId="7486CD7F" w14:textId="77777777" w:rsidR="006A7646" w:rsidRDefault="00000000">
      <w:pPr>
        <w:spacing w:after="160"/>
        <w:jc w:val="both"/>
      </w:pPr>
      <w:r>
        <w:t xml:space="preserve">Pour les détails relatifs à la propriété du code et à l'intégration </w:t>
      </w:r>
      <w:proofErr w:type="spellStart"/>
      <w:r>
        <w:t>Supabase</w:t>
      </w:r>
      <w:proofErr w:type="spellEnd"/>
      <w:r>
        <w:t>, il est renvoyé aux CGU.</w:t>
      </w:r>
    </w:p>
    <w:p w14:paraId="72866730" w14:textId="77777777" w:rsidR="006A7646" w:rsidRDefault="006A7646">
      <w:pPr>
        <w:spacing w:after="80"/>
      </w:pPr>
    </w:p>
    <w:p w14:paraId="29318590" w14:textId="77777777" w:rsidR="006A7646" w:rsidRDefault="00000000">
      <w:pPr>
        <w:pStyle w:val="Heading1"/>
      </w:pPr>
      <w:r>
        <w:t>ARTICLE 11 — LIMITATION DE RESPONSABILITÉ</w:t>
      </w:r>
    </w:p>
    <w:p w14:paraId="6BDDB928" w14:textId="77777777" w:rsidR="006A7646" w:rsidRDefault="00000000">
      <w:pPr>
        <w:spacing w:after="160"/>
        <w:jc w:val="both"/>
      </w:pPr>
      <w:r>
        <w:t xml:space="preserve">La responsabilité de Convergence </w:t>
      </w:r>
      <w:proofErr w:type="spellStart"/>
      <w:r>
        <w:t>Lab</w:t>
      </w:r>
      <w:proofErr w:type="spellEnd"/>
      <w:r>
        <w:t xml:space="preserve"> est limitée au montant des sommes versées par le Client au titre des 3 derniers mois d'abonnement précédant le sinistre. Convergence </w:t>
      </w:r>
      <w:proofErr w:type="spellStart"/>
      <w:r>
        <w:t>Lab</w:t>
      </w:r>
      <w:proofErr w:type="spellEnd"/>
      <w:r>
        <w:t xml:space="preserve"> ne saurait être responsable des dommages indirects, pertes de données, pertes d'exploitation ou pertes de revenus.</w:t>
      </w:r>
    </w:p>
    <w:p w14:paraId="34151730" w14:textId="77777777" w:rsidR="006A7646" w:rsidRDefault="006A7646">
      <w:pPr>
        <w:spacing w:after="80"/>
      </w:pPr>
    </w:p>
    <w:p w14:paraId="28275665" w14:textId="77777777" w:rsidR="006A7646" w:rsidRDefault="00000000">
      <w:pPr>
        <w:pStyle w:val="Heading1"/>
      </w:pPr>
      <w:r>
        <w:t>ARTICLE 12 — FORCE MAJEURE</w:t>
      </w:r>
    </w:p>
    <w:p w14:paraId="082A1EE3" w14:textId="77777777" w:rsidR="006A7646" w:rsidRDefault="00000000">
      <w:pPr>
        <w:spacing w:after="160"/>
        <w:jc w:val="both"/>
      </w:pPr>
      <w:r>
        <w:t xml:space="preserve">Convergence </w:t>
      </w:r>
      <w:proofErr w:type="spellStart"/>
      <w:r>
        <w:t>Lab</w:t>
      </w:r>
      <w:proofErr w:type="spellEnd"/>
      <w:r>
        <w:t xml:space="preserve"> ne saurait être tenu responsable de l'inexécution de ses obligations en cas de force majeure au sens de l'article 1218 du Code civil (catastrophes naturelles, pannes d'infrastructure tierce, cyberattaques, etc.).</w:t>
      </w:r>
    </w:p>
    <w:p w14:paraId="52EF94CC" w14:textId="77777777" w:rsidR="006A7646" w:rsidRDefault="006A7646">
      <w:pPr>
        <w:spacing w:after="80"/>
      </w:pPr>
    </w:p>
    <w:p w14:paraId="4C2C4800" w14:textId="77777777" w:rsidR="006A7646" w:rsidRDefault="00000000">
      <w:pPr>
        <w:pStyle w:val="Heading1"/>
      </w:pPr>
      <w:r>
        <w:t>ARTICLE 13 — DROIT APPLICABLE ET LITIGES</w:t>
      </w:r>
    </w:p>
    <w:p w14:paraId="59D3056F" w14:textId="77777777" w:rsidR="006A7646" w:rsidRDefault="00000000">
      <w:pPr>
        <w:spacing w:after="160"/>
        <w:jc w:val="both"/>
      </w:pPr>
      <w:r>
        <w:t>Les présentes CGV sont soumises au droit français. En cas de litige, les parties s'engagent à rechercher une solution amiable. En cas d'échec, le différend sera soumis aux tribunaux compétents du ressort du siège de Convergence Lab.</w:t>
      </w:r>
    </w:p>
    <w:p w14:paraId="0F846093" w14:textId="77777777" w:rsidR="006A7646" w:rsidRDefault="00000000">
      <w:pPr>
        <w:spacing w:after="160"/>
        <w:jc w:val="both"/>
      </w:pPr>
      <w:r>
        <w:t>Conformément aux articles L. 616-1 et R. 616-1 du Code de la consommation, le Client consommateur peut recourir à un médiateur de la consommation.</w:t>
      </w:r>
    </w:p>
    <w:p w14:paraId="6479946F" w14:textId="77777777" w:rsidR="006A7646" w:rsidRDefault="006A7646">
      <w:pPr>
        <w:spacing w:after="80"/>
      </w:pPr>
    </w:p>
    <w:p w14:paraId="27404689" w14:textId="77777777" w:rsidR="006A7646" w:rsidRDefault="00000000">
      <w:pPr>
        <w:pStyle w:val="Heading1"/>
      </w:pPr>
      <w:r>
        <w:t>ARTICLE 14 — CONTACT</w:t>
      </w:r>
    </w:p>
    <w:p w14:paraId="67DEB1EF" w14:textId="77777777" w:rsidR="006A7646" w:rsidRDefault="00000000">
      <w:pPr>
        <w:spacing w:after="160"/>
      </w:pPr>
      <w:r>
        <w:t>Pour toute question relative aux présentes CGV :</w:t>
      </w:r>
    </w:p>
    <w:p w14:paraId="655D188E" w14:textId="36E954EB" w:rsidR="006A7646" w:rsidRDefault="00000000">
      <w:pPr>
        <w:pStyle w:val="ListParagraph"/>
        <w:numPr>
          <w:ilvl w:val="0"/>
          <w:numId w:val="2"/>
        </w:numPr>
        <w:spacing w:after="80"/>
      </w:pPr>
      <w:proofErr w:type="gramStart"/>
      <w:r>
        <w:t>E-mail</w:t>
      </w:r>
      <w:proofErr w:type="gramEnd"/>
      <w:r>
        <w:t xml:space="preserve"> : contact@</w:t>
      </w:r>
      <w:r w:rsidR="00574D84">
        <w:t>Cadrant.ai</w:t>
      </w:r>
    </w:p>
    <w:p w14:paraId="3F83EDA8" w14:textId="77777777" w:rsidR="006A7646" w:rsidRDefault="00000000">
      <w:pPr>
        <w:pStyle w:val="ListParagraph"/>
        <w:numPr>
          <w:ilvl w:val="0"/>
          <w:numId w:val="2"/>
        </w:numPr>
        <w:spacing w:after="80"/>
      </w:pPr>
      <w:r>
        <w:t xml:space="preserve">Société : Convergence </w:t>
      </w:r>
      <w:proofErr w:type="spellStart"/>
      <w:r>
        <w:t>Lab</w:t>
      </w:r>
      <w:proofErr w:type="spellEnd"/>
    </w:p>
    <w:p w14:paraId="4341195A" w14:textId="306B7CEF" w:rsidR="006A7646" w:rsidRPr="00574D84" w:rsidRDefault="00000000">
      <w:pPr>
        <w:pStyle w:val="ListParagraph"/>
        <w:numPr>
          <w:ilvl w:val="0"/>
          <w:numId w:val="2"/>
        </w:numPr>
        <w:spacing w:after="80"/>
        <w:rPr>
          <w:lang w:val="en-US"/>
        </w:rPr>
      </w:pPr>
      <w:r w:rsidRPr="00574D84">
        <w:rPr>
          <w:lang w:val="en-US"/>
        </w:rPr>
        <w:t xml:space="preserve">Site </w:t>
      </w:r>
      <w:proofErr w:type="gramStart"/>
      <w:r w:rsidRPr="00574D84">
        <w:rPr>
          <w:lang w:val="en-US"/>
        </w:rPr>
        <w:t>web :</w:t>
      </w:r>
      <w:proofErr w:type="gramEnd"/>
      <w:r w:rsidRPr="00574D84">
        <w:rPr>
          <w:lang w:val="en-US"/>
        </w:rPr>
        <w:t xml:space="preserve"> https://</w:t>
      </w:r>
      <w:r w:rsidR="00574D84">
        <w:rPr>
          <w:lang w:val="en-US"/>
        </w:rPr>
        <w:t>Cadrant.ai</w:t>
      </w:r>
    </w:p>
    <w:sectPr w:rsidR="006A7646" w:rsidRPr="00574D84">
      <w:headerReference w:type="default" r:id="rId7"/>
      <w:footerReference w:type="default" r:id="rId8"/>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A53AC" w14:textId="77777777" w:rsidR="00E64910" w:rsidRDefault="00E64910">
      <w:r>
        <w:separator/>
      </w:r>
    </w:p>
  </w:endnote>
  <w:endnote w:type="continuationSeparator" w:id="0">
    <w:p w14:paraId="7289D7BF" w14:textId="77777777" w:rsidR="00E64910" w:rsidRDefault="00E6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B860" w14:textId="77777777" w:rsidR="006A7646" w:rsidRDefault="00000000">
    <w:pPr>
      <w:pBdr>
        <w:top w:val="single" w:sz="4" w:space="1" w:color="4F46E5"/>
      </w:pBdr>
      <w:tabs>
        <w:tab w:val="right" w:pos="9026"/>
      </w:tabs>
      <w:spacing w:before="100"/>
    </w:pPr>
    <w:r>
      <w:rPr>
        <w:color w:val="6B7280"/>
        <w:sz w:val="16"/>
        <w:szCs w:val="16"/>
      </w:rPr>
      <w:t xml:space="preserve">© 2025 Convergence </w:t>
    </w:r>
    <w:proofErr w:type="spellStart"/>
    <w:r>
      <w:rPr>
        <w:color w:val="6B7280"/>
        <w:sz w:val="16"/>
        <w:szCs w:val="16"/>
      </w:rPr>
      <w:t>Lab</w:t>
    </w:r>
    <w:proofErr w:type="spellEnd"/>
    <w:r>
      <w:rPr>
        <w:color w:val="6B7280"/>
        <w:sz w:val="16"/>
        <w:szCs w:val="16"/>
      </w:rPr>
      <w:t xml:space="preserve"> — Tous droits réservés</w:t>
    </w:r>
    <w:r>
      <w:rPr>
        <w:sz w:val="16"/>
        <w:szCs w:val="16"/>
      </w:rPr>
      <w:tab/>
    </w:r>
    <w:r>
      <w:rPr>
        <w:color w:val="6B7280"/>
        <w:sz w:val="16"/>
        <w:szCs w:val="16"/>
      </w:rPr>
      <w:t xml:space="preserve">Page </w:t>
    </w:r>
    <w:r>
      <w:rPr>
        <w:color w:val="6B7280"/>
        <w:sz w:val="16"/>
        <w:szCs w:val="16"/>
      </w:rPr>
      <w:fldChar w:fldCharType="begin"/>
    </w:r>
    <w:r>
      <w:rPr>
        <w:color w:val="6B7280"/>
        <w:sz w:val="16"/>
        <w:szCs w:val="16"/>
      </w:rPr>
      <w:instrText>PAGE</w:instrText>
    </w:r>
    <w:r>
      <w:rPr>
        <w:color w:val="6B7280"/>
        <w:sz w:val="16"/>
        <w:szCs w:val="16"/>
      </w:rPr>
      <w:fldChar w:fldCharType="separate"/>
    </w:r>
    <w:r w:rsidR="00574D84">
      <w:rPr>
        <w:noProof/>
        <w:color w:val="6B7280"/>
        <w:sz w:val="16"/>
        <w:szCs w:val="16"/>
      </w:rPr>
      <w:t>1</w:t>
    </w:r>
    <w:r>
      <w:rPr>
        <w:color w:val="6B72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03480" w14:textId="77777777" w:rsidR="00E64910" w:rsidRDefault="00E64910">
      <w:r>
        <w:separator/>
      </w:r>
    </w:p>
  </w:footnote>
  <w:footnote w:type="continuationSeparator" w:id="0">
    <w:p w14:paraId="64D2D460" w14:textId="77777777" w:rsidR="00E64910" w:rsidRDefault="00E64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CAD8" w14:textId="04C60B5D" w:rsidR="006A7646" w:rsidRDefault="00574D84">
    <w:pPr>
      <w:pBdr>
        <w:bottom w:val="single" w:sz="4" w:space="1" w:color="4F46E5"/>
      </w:pBdr>
      <w:spacing w:after="120"/>
    </w:pPr>
    <w:r>
      <w:rPr>
        <w:color w:val="6B7280"/>
        <w:sz w:val="18"/>
        <w:szCs w:val="18"/>
      </w:rPr>
      <w:t xml:space="preserve">Cadrant.ai — Convergence </w:t>
    </w:r>
    <w:proofErr w:type="spellStart"/>
    <w:proofErr w:type="gramStart"/>
    <w:r>
      <w:rPr>
        <w:color w:val="6B7280"/>
        <w:sz w:val="18"/>
        <w:szCs w:val="18"/>
      </w:rPr>
      <w:t>Lab</w:t>
    </w:r>
    <w:proofErr w:type="spellEnd"/>
    <w:r>
      <w:rPr>
        <w:color w:val="6B7280"/>
        <w:sz w:val="18"/>
        <w:szCs w:val="18"/>
      </w:rPr>
      <w:t xml:space="preserve">  |</w:t>
    </w:r>
    <w:proofErr w:type="gramEnd"/>
    <w:r>
      <w:rPr>
        <w:color w:val="6B7280"/>
        <w:sz w:val="18"/>
        <w:szCs w:val="18"/>
      </w:rPr>
      <w:t xml:space="preserve">  </w:t>
    </w:r>
    <w:r>
      <w:rPr>
        <w:b/>
        <w:bCs/>
        <w:color w:val="1A1A2E"/>
        <w:sz w:val="18"/>
        <w:szCs w:val="18"/>
      </w:rPr>
      <w:t>Conditions Générales de Vente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E51AB"/>
    <w:multiLevelType w:val="hybridMultilevel"/>
    <w:tmpl w:val="8FDC5864"/>
    <w:lvl w:ilvl="0" w:tplc="7916DDDA">
      <w:start w:val="1"/>
      <w:numFmt w:val="bullet"/>
      <w:lvlText w:val="•"/>
      <w:lvlJc w:val="left"/>
      <w:pPr>
        <w:ind w:left="720" w:hanging="360"/>
      </w:pPr>
    </w:lvl>
    <w:lvl w:ilvl="1" w:tplc="AF0A9452">
      <w:numFmt w:val="decimal"/>
      <w:lvlText w:val=""/>
      <w:lvlJc w:val="left"/>
    </w:lvl>
    <w:lvl w:ilvl="2" w:tplc="92A07A6E">
      <w:numFmt w:val="decimal"/>
      <w:lvlText w:val=""/>
      <w:lvlJc w:val="left"/>
    </w:lvl>
    <w:lvl w:ilvl="3" w:tplc="61185BA4">
      <w:numFmt w:val="decimal"/>
      <w:lvlText w:val=""/>
      <w:lvlJc w:val="left"/>
    </w:lvl>
    <w:lvl w:ilvl="4" w:tplc="2876AC2C">
      <w:numFmt w:val="decimal"/>
      <w:lvlText w:val=""/>
      <w:lvlJc w:val="left"/>
    </w:lvl>
    <w:lvl w:ilvl="5" w:tplc="B9766AEC">
      <w:numFmt w:val="decimal"/>
      <w:lvlText w:val=""/>
      <w:lvlJc w:val="left"/>
    </w:lvl>
    <w:lvl w:ilvl="6" w:tplc="5926A354">
      <w:numFmt w:val="decimal"/>
      <w:lvlText w:val=""/>
      <w:lvlJc w:val="left"/>
    </w:lvl>
    <w:lvl w:ilvl="7" w:tplc="3DC86B62">
      <w:numFmt w:val="decimal"/>
      <w:lvlText w:val=""/>
      <w:lvlJc w:val="left"/>
    </w:lvl>
    <w:lvl w:ilvl="8" w:tplc="EBEA1B86">
      <w:numFmt w:val="decimal"/>
      <w:lvlText w:val=""/>
      <w:lvlJc w:val="left"/>
    </w:lvl>
  </w:abstractNum>
  <w:abstractNum w:abstractNumId="1" w15:restartNumberingAfterBreak="0">
    <w:nsid w:val="529A2043"/>
    <w:multiLevelType w:val="hybridMultilevel"/>
    <w:tmpl w:val="F70C07A8"/>
    <w:lvl w:ilvl="0" w:tplc="FABA3866">
      <w:start w:val="1"/>
      <w:numFmt w:val="bullet"/>
      <w:lvlText w:val="●"/>
      <w:lvlJc w:val="left"/>
      <w:pPr>
        <w:ind w:left="720" w:hanging="360"/>
      </w:pPr>
    </w:lvl>
    <w:lvl w:ilvl="1" w:tplc="FCECA0A8">
      <w:start w:val="1"/>
      <w:numFmt w:val="bullet"/>
      <w:lvlText w:val="○"/>
      <w:lvlJc w:val="left"/>
      <w:pPr>
        <w:ind w:left="1440" w:hanging="360"/>
      </w:pPr>
    </w:lvl>
    <w:lvl w:ilvl="2" w:tplc="BCF0EC74">
      <w:start w:val="1"/>
      <w:numFmt w:val="bullet"/>
      <w:lvlText w:val="■"/>
      <w:lvlJc w:val="left"/>
      <w:pPr>
        <w:ind w:left="2160" w:hanging="360"/>
      </w:pPr>
    </w:lvl>
    <w:lvl w:ilvl="3" w:tplc="BE52CF1E">
      <w:start w:val="1"/>
      <w:numFmt w:val="bullet"/>
      <w:lvlText w:val="●"/>
      <w:lvlJc w:val="left"/>
      <w:pPr>
        <w:ind w:left="2880" w:hanging="360"/>
      </w:pPr>
    </w:lvl>
    <w:lvl w:ilvl="4" w:tplc="405462AC">
      <w:start w:val="1"/>
      <w:numFmt w:val="bullet"/>
      <w:lvlText w:val="○"/>
      <w:lvlJc w:val="left"/>
      <w:pPr>
        <w:ind w:left="3600" w:hanging="360"/>
      </w:pPr>
    </w:lvl>
    <w:lvl w:ilvl="5" w:tplc="B9069DF8">
      <w:start w:val="1"/>
      <w:numFmt w:val="bullet"/>
      <w:lvlText w:val="■"/>
      <w:lvlJc w:val="left"/>
      <w:pPr>
        <w:ind w:left="4320" w:hanging="360"/>
      </w:pPr>
    </w:lvl>
    <w:lvl w:ilvl="6" w:tplc="CEDC86E2">
      <w:start w:val="1"/>
      <w:numFmt w:val="bullet"/>
      <w:lvlText w:val="●"/>
      <w:lvlJc w:val="left"/>
      <w:pPr>
        <w:ind w:left="5040" w:hanging="360"/>
      </w:pPr>
    </w:lvl>
    <w:lvl w:ilvl="7" w:tplc="F55EC368">
      <w:start w:val="1"/>
      <w:numFmt w:val="bullet"/>
      <w:lvlText w:val="●"/>
      <w:lvlJc w:val="left"/>
      <w:pPr>
        <w:ind w:left="5760" w:hanging="360"/>
      </w:pPr>
    </w:lvl>
    <w:lvl w:ilvl="8" w:tplc="18C21466">
      <w:start w:val="1"/>
      <w:numFmt w:val="bullet"/>
      <w:lvlText w:val="●"/>
      <w:lvlJc w:val="left"/>
      <w:pPr>
        <w:ind w:left="6480" w:hanging="360"/>
      </w:pPr>
    </w:lvl>
  </w:abstractNum>
  <w:num w:numId="1" w16cid:durableId="1457870008">
    <w:abstractNumId w:val="1"/>
    <w:lvlOverride w:ilvl="0">
      <w:startOverride w:val="1"/>
    </w:lvlOverride>
  </w:num>
  <w:num w:numId="2" w16cid:durableId="17304929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646"/>
    <w:rsid w:val="001971B1"/>
    <w:rsid w:val="00574D84"/>
    <w:rsid w:val="006179E1"/>
    <w:rsid w:val="006A7646"/>
    <w:rsid w:val="00C15441"/>
    <w:rsid w:val="00E64910"/>
    <w:rsid w:val="00EF06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2D240"/>
  <w15:docId w15:val="{CFABF135-4053-45B7-BA18-5E5B82FB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A1A2E"/>
      <w:sz w:val="30"/>
      <w:szCs w:val="30"/>
    </w:rPr>
  </w:style>
  <w:style w:type="paragraph" w:styleId="Heading2">
    <w:name w:val="heading 2"/>
    <w:uiPriority w:val="9"/>
    <w:unhideWhenUsed/>
    <w:qFormat/>
    <w:pPr>
      <w:spacing w:before="240" w:after="120"/>
      <w:outlineLvl w:val="1"/>
    </w:pPr>
    <w:rPr>
      <w:b/>
      <w:bCs/>
      <w:color w:val="4F46E5"/>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1008</Words>
  <Characters>5548</Characters>
  <Application>Microsoft Office Word</Application>
  <DocSecurity>0</DocSecurity>
  <Lines>46</Lines>
  <Paragraphs>13</Paragraphs>
  <ScaleCrop>false</ScaleCrop>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Luca Delanglade</cp:lastModifiedBy>
  <cp:revision>3</cp:revision>
  <dcterms:created xsi:type="dcterms:W3CDTF">2026-03-22T09:49:00Z</dcterms:created>
  <dcterms:modified xsi:type="dcterms:W3CDTF">2026-03-28T18:40:00Z</dcterms:modified>
</cp:coreProperties>
</file>